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640" w:lineRule="auto"/>
        <w:ind w:right="6"/>
        <w:jc w:val="center"/>
        <w:rPr>
          <w:rFonts w:ascii="Microsoft JhengHei" w:cs="Microsoft JhengHei" w:eastAsia="Microsoft JhengHei" w:hAnsi="Microsoft JhengHei"/>
          <w:b w:val="1"/>
          <w:sz w:val="40"/>
          <w:szCs w:val="40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40"/>
          <w:szCs w:val="40"/>
          <w:rtl w:val="0"/>
        </w:rPr>
        <w:t xml:space="preserve">ESCO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40"/>
          <w:szCs w:val="40"/>
          <w:rtl w:val="0"/>
        </w:rPr>
        <w:t xml:space="preserve">深度節能簡介</w:t>
      </w:r>
    </w:p>
    <w:p w:rsidR="00000000" w:rsidDel="00000000" w:rsidP="00000000" w:rsidRDefault="00000000" w:rsidRPr="00000000" w14:paraId="00000002">
      <w:pPr>
        <w:spacing w:after="0" w:line="640" w:lineRule="auto"/>
        <w:ind w:right="6"/>
        <w:jc w:val="right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產業發展署 114.1.20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520" w:lineRule="auto"/>
        <w:ind w:left="643" w:hanging="643"/>
        <w:jc w:val="both"/>
        <w:rPr/>
      </w:pPr>
      <w:r w:rsidDel="00000000" w:rsidR="00000000" w:rsidRPr="00000000">
        <w:rPr>
          <w:rFonts w:ascii="Microsoft JhengHei" w:cs="Microsoft JhengHei" w:eastAsia="Microsoft JhengHei" w:hAnsi="Microsoft JhengHei"/>
          <w:sz w:val="32"/>
          <w:szCs w:val="32"/>
          <w:rtl w:val="0"/>
        </w:rPr>
        <w:t xml:space="preserve">為何要推動深度節能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line="440" w:lineRule="auto"/>
        <w:ind w:left="993" w:hanging="567"/>
        <w:jc w:val="both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可節省成本：用電為企業主要費用之一，節能可降低用電費用支出，降低營運成本。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line="440" w:lineRule="auto"/>
        <w:ind w:left="993" w:hanging="567"/>
        <w:jc w:val="both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有助符合能源管理法節電要求：</w:t>
      </w:r>
    </w:p>
    <w:p w:rsidR="00000000" w:rsidDel="00000000" w:rsidP="00000000" w:rsidRDefault="00000000" w:rsidRPr="00000000" w14:paraId="00000006">
      <w:pPr>
        <w:spacing w:after="0" w:line="440" w:lineRule="auto"/>
        <w:ind w:left="993" w:firstLine="0"/>
        <w:jc w:val="both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經濟部公告，自114年至117年，契約用電容量800瓩以上的用戶需達平均年節電率1%，超過10,000瓩的用戶則需達1.5%。未達目標者，其節電執行計畫可能不予核定，且依能源管理法，最高可處新台幣10萬至15萬元罰鍰。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line="440" w:lineRule="auto"/>
        <w:ind w:left="993" w:hanging="567"/>
        <w:jc w:val="both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可納入自主減量計畫爭取優惠費率：</w:t>
      </w:r>
    </w:p>
    <w:p w:rsidR="00000000" w:rsidDel="00000000" w:rsidP="00000000" w:rsidRDefault="00000000" w:rsidRPr="00000000" w14:paraId="00000008">
      <w:pPr>
        <w:spacing w:after="0" w:line="440" w:lineRule="auto"/>
        <w:ind w:left="993" w:hanging="10"/>
        <w:jc w:val="both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碳費制度自114年1月1日起上路，針對碳排放2.5萬噸以上之徵收對象，名目費率為300元、優惠費率為100元，依碳費收費辦法規定，要適用優惠費率者須提出自主減量計畫；而製造業溫室氣體排放中約有86%來自能源使用，因此深度節能為減碳重要措施，可列入自主減量計畫，爭取優惠費率。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line="440" w:lineRule="auto"/>
        <w:ind w:left="993" w:hanging="567"/>
        <w:jc w:val="both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有助品牌商對供應鏈減碳要求：</w:t>
      </w:r>
    </w:p>
    <w:p w:rsidR="00000000" w:rsidDel="00000000" w:rsidP="00000000" w:rsidRDefault="00000000" w:rsidRPr="00000000" w14:paraId="0000000A">
      <w:pPr>
        <w:spacing w:after="0" w:line="440" w:lineRule="auto"/>
        <w:ind w:left="993" w:hanging="10"/>
        <w:jc w:val="both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部分品牌商(如APPLE)會透過供應商評分機制要求合作供應鏈業者減少碳排，深度節能可減少碳排，有助滿足品牌商對供應鏈要求。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520" w:lineRule="auto"/>
        <w:ind w:left="643" w:hanging="643"/>
        <w:jc w:val="both"/>
        <w:rPr>
          <w:rFonts w:ascii="Microsoft JhengHei" w:cs="Microsoft JhengHei" w:eastAsia="Microsoft JhengHei" w:hAnsi="Microsoft JhengHei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2"/>
          <w:szCs w:val="32"/>
          <w:rtl w:val="0"/>
        </w:rPr>
        <w:t xml:space="preserve">政府能提供什麼協助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="440" w:lineRule="auto"/>
        <w:ind w:left="993" w:hanging="567"/>
        <w:jc w:val="both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透過能源技術服務業(ESCO)協助節能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1276" w:right="0" w:hanging="283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為何節能要找ESCO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1276" w:right="0" w:firstLine="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O採用科學計量方法，量身訂製節能方案，涵蓋能源診斷、改善方案規劃、工程施工到效益驗證的一條龍服務，提供節電及財務分析，以具成本效益方式節能省電費同時減碳，企業可在降低能源成本的同時，享受專業技術支持，提升競爭力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1276" w:right="0" w:hanging="283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ESCO降低企業資金門檻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1276" w:right="0" w:firstLine="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ESCO透過節能績效保證專案，企業可利用節省的能源費用分期支付專案費用，避免前期大量資金投入，減輕財務壓力，降低實施節能改造的障礙，確保節能措施有效透過科學化驗證成效，節能績效零風險。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9" w:before="0" w:line="259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727450" cy="1314944"/>
            <wp:effectExtent b="0" l="0" r="0" t="0"/>
            <wp:docPr id="1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1314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098490" cy="1306736"/>
            <wp:effectExtent b="0" l="0" r="0" t="0"/>
            <wp:docPr id="1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8490" cy="13067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9" w:before="0" w:line="259" w:lineRule="auto"/>
        <w:ind w:left="1276" w:right="0" w:firstLine="6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圖1、ESCO服務流程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圖2、ESCO 商業服務模式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440" w:lineRule="auto"/>
        <w:ind w:left="993" w:hanging="567"/>
        <w:jc w:val="both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透過輔導團協助節能診斷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2126" w:right="0" w:hanging="1134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第一步：由專業團隊針對工廠能源使用情況作全盤了解，鑑別能耗熱點。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2126" w:right="0" w:hanging="1134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第二步：邀請專家，針對能耗熱點設備做系統性診斷，提出改善建議。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2126" w:right="0" w:hanging="1134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第三步：媒合ESCO廠商或設備交流平台，協助廠商落實節能改善方案。</w:t>
      </w:r>
    </w:p>
    <w:p w:rsidR="00000000" w:rsidDel="00000000" w:rsidP="00000000" w:rsidRDefault="00000000" w:rsidRPr="00000000" w14:paraId="00000017">
      <w:pPr>
        <w:spacing w:after="0" w:line="200" w:lineRule="auto"/>
        <w:rPr>
          <w:rFonts w:ascii="Microsoft JhengHei" w:cs="Microsoft JhengHei" w:eastAsia="Microsoft JhengHei" w:hAnsi="Microsoft JhengHei"/>
          <w:sz w:val="28"/>
          <w:szCs w:val="28"/>
        </w:rPr>
      </w:pPr>
      <w:bookmarkStart w:colFirst="0" w:colLast="0" w:name="_heading=h.cwwdl3e2z2u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440" w:lineRule="auto"/>
        <w:ind w:left="643" w:hanging="643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ESCO </w:t>
      </w:r>
      <w:r w:rsidDel="00000000" w:rsidR="00000000" w:rsidRPr="00000000">
        <w:rPr>
          <w:rFonts w:ascii="Microsoft JhengHei" w:cs="Microsoft JhengHei" w:eastAsia="Microsoft JhengHei" w:hAnsi="Microsoft JhengHei"/>
          <w:sz w:val="32"/>
          <w:szCs w:val="32"/>
          <w:rtl w:val="0"/>
        </w:rPr>
        <w:t xml:space="preserve">相關問題洽詢單位及聯絡方式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line="440" w:lineRule="auto"/>
        <w:ind w:left="840" w:hanging="414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中華民國能源技術服務商業同業公會</w:t>
      </w:r>
    </w:p>
    <w:p w:rsidR="00000000" w:rsidDel="00000000" w:rsidP="00000000" w:rsidRDefault="00000000" w:rsidRPr="00000000" w14:paraId="0000001A">
      <w:pPr>
        <w:spacing w:after="0" w:line="440" w:lineRule="auto"/>
        <w:ind w:left="993" w:firstLine="0"/>
        <w:rPr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聯絡人：鄭秘書長              電話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02-8665-0826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line="440" w:lineRule="auto"/>
        <w:ind w:left="840" w:hanging="414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輔導團聯絡方式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1332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北區：財團法人台灣產業服務基金會</w:t>
      </w:r>
    </w:p>
    <w:p w:rsidR="00000000" w:rsidDel="00000000" w:rsidP="00000000" w:rsidRDefault="00000000" w:rsidRPr="00000000" w14:paraId="0000001D">
      <w:pPr>
        <w:spacing w:after="0" w:line="440" w:lineRule="auto"/>
        <w:ind w:left="1330" w:firstLine="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聯絡人：張敬嚴            電話：(02)7704-5214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1332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中區：財團法人台灣綠色生產力基金會</w:t>
      </w:r>
    </w:p>
    <w:p w:rsidR="00000000" w:rsidDel="00000000" w:rsidP="00000000" w:rsidRDefault="00000000" w:rsidRPr="00000000" w14:paraId="0000001F">
      <w:pPr>
        <w:spacing w:after="0" w:line="440" w:lineRule="auto"/>
        <w:ind w:left="1330" w:firstLine="0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聯絡人：</w:t>
      </w:r>
      <w:r w:rsidDel="00000000" w:rsidR="00000000" w:rsidRPr="00000000">
        <w:rPr>
          <w:rFonts w:ascii="MingLiu-ExtB" w:cs="MingLiu-ExtB" w:eastAsia="MingLiu-ExtB" w:hAnsi="MingLiu-ExtB"/>
          <w:sz w:val="28"/>
          <w:szCs w:val="28"/>
          <w:rtl w:val="0"/>
        </w:rPr>
        <w:t xml:space="preserve">𡍼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婉珍            電話：(04)2350-8042 分機203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1332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南區：財團法人金屬工業研究發展中心</w:t>
      </w:r>
    </w:p>
    <w:p w:rsidR="00000000" w:rsidDel="00000000" w:rsidP="00000000" w:rsidRDefault="00000000" w:rsidRPr="00000000" w14:paraId="00000021">
      <w:pPr>
        <w:spacing w:after="0" w:line="440" w:lineRule="auto"/>
        <w:ind w:left="1330" w:firstLine="0"/>
        <w:rPr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聯絡人：吳詩婷            電話：(07)351-3121 分機3718 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40" w:top="993" w:left="1080" w:right="1080" w:header="567" w:footer="5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icrosoft JhengHei"/>
  <w:font w:name="Arial"/>
  <w:font w:name="MingLiu-Ext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643" w:hanging="643"/>
      </w:pPr>
      <w:rPr>
        <w:rFonts w:ascii="Microsoft JhengHei" w:cs="Microsoft JhengHei" w:eastAsia="Microsoft JhengHei" w:hAnsi="Microsoft JhengHei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1">
      <w:start w:val="1"/>
      <w:numFmt w:val="decimal"/>
      <w:lvlText w:val="(%2)"/>
      <w:lvlJc w:val="left"/>
      <w:pPr>
        <w:ind w:left="839" w:hanging="839"/>
      </w:pPr>
      <w:rPr>
        <w:rFonts w:ascii="Microsoft JhengHei" w:cs="Microsoft JhengHei" w:eastAsia="Microsoft JhengHei" w:hAnsi="Microsoft JhengHe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646" w:hanging="164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366" w:hanging="236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086" w:hanging="308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806" w:hanging="380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526" w:hanging="452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246" w:hanging="524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5966" w:hanging="5966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bullet"/>
      <w:lvlText w:val="✧"/>
      <w:lvlJc w:val="left"/>
      <w:pPr>
        <w:ind w:left="1332" w:hanging="48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1812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2292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72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3252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3732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12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4692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5172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160" w:line="259" w:lineRule="auto"/>
    </w:pPr>
    <w:rPr>
      <w:rFonts w:ascii="Calibri" w:cs="Calibri" w:eastAsia="Calibri" w:hAnsi="Calibri"/>
      <w:color w:val="000000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F261E"/>
    <w:pPr>
      <w:ind w:left="480" w:leftChars="200"/>
    </w:pPr>
  </w:style>
  <w:style w:type="paragraph" w:styleId="a4">
    <w:name w:val="header"/>
    <w:basedOn w:val="a"/>
    <w:link w:val="a5"/>
    <w:uiPriority w:val="99"/>
    <w:unhideWhenUsed w:val="1"/>
    <w:rsid w:val="0064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646AB6"/>
    <w:rPr>
      <w:rFonts w:ascii="Calibri" w:cs="Calibri" w:eastAsia="Calibri" w:hAnsi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64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646AB6"/>
    <w:rPr>
      <w:rFonts w:ascii="Calibri" w:cs="Calibri" w:eastAsia="Calibri" w:hAnsi="Calibri"/>
      <w:color w:val="000000"/>
      <w:sz w:val="20"/>
      <w:szCs w:val="20"/>
    </w:rPr>
  </w:style>
  <w:style w:type="table" w:styleId="a8">
    <w:name w:val="Table Grid"/>
    <w:basedOn w:val="a1"/>
    <w:uiPriority w:val="39"/>
    <w:rsid w:val="00775B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9">
    <w:name w:val="Hyperlink"/>
    <w:basedOn w:val="a0"/>
    <w:uiPriority w:val="99"/>
    <w:unhideWhenUsed w:val="1"/>
    <w:rsid w:val="0074686E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74686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zYJRSfyNLZHrl0Fe24NxEuHVPA==">CgMxLjAyDmguY3d3ZGwzZTJ6MnU3OAByITE4YktQUzhlRndYYWZ2bFNaQ1J4SnBZZnR0SzZCUjBUMg==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2025-04-02T07:26:00Z</dcterms:created>
  <dc:creator>user</dc:creator>
</cp:coreProperties>
</file>